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F6" w:rsidRDefault="00B13FF6" w:rsidP="00B13F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FF6" w:rsidRDefault="00B13FF6" w:rsidP="00B13F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13FF6" w:rsidRDefault="00B13FF6" w:rsidP="00B1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</w:t>
      </w:r>
    </w:p>
    <w:p w:rsidR="00B13FF6" w:rsidRDefault="00B13FF6" w:rsidP="00B1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КАРТАЛИНСКОГО ГОРОДСКОГО ПОСЕЛЕНИЯ</w:t>
      </w:r>
    </w:p>
    <w:p w:rsidR="00B13FF6" w:rsidRDefault="00B13FF6" w:rsidP="00B13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</w:p>
    <w:p w:rsidR="00B13FF6" w:rsidRDefault="00B13FF6" w:rsidP="00B13FF6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B13FF6" w:rsidRDefault="00B13FF6" w:rsidP="00B13FF6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ПОСТАНОВЛЕНИЕ</w:t>
      </w:r>
    </w:p>
    <w:p w:rsidR="00B13FF6" w:rsidRDefault="00B13FF6" w:rsidP="00B13FF6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B13FF6" w:rsidTr="00B13FF6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B13FF6" w:rsidRDefault="00B13F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13FF6" w:rsidTr="00B13FF6">
        <w:trPr>
          <w:gridAfter w:val="1"/>
          <w:wAfter w:w="5503" w:type="dxa"/>
          <w:trHeight w:val="946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3FF6" w:rsidRDefault="00B13F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</w:t>
            </w:r>
            <w:r w:rsidRPr="00B13F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__»____</w:t>
            </w:r>
            <w:r w:rsidRPr="00B13F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____2020 г.___</w:t>
            </w:r>
            <w:r w:rsidRPr="00B13F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  <w:p w:rsidR="00B13FF6" w:rsidRDefault="00B13F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Карталы</w:t>
            </w:r>
          </w:p>
        </w:tc>
      </w:tr>
    </w:tbl>
    <w:p w:rsidR="00B13FF6" w:rsidRDefault="00B13FF6" w:rsidP="00B13FF6">
      <w:pPr>
        <w:autoSpaceDE w:val="0"/>
        <w:autoSpaceDN w:val="0"/>
        <w:adjustRightInd w:val="0"/>
        <w:spacing w:after="0" w:line="240" w:lineRule="auto"/>
        <w:ind w:righ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формирования перечня налоговых расходов и оценки налоговых расходов Карталинского городского поселения</w:t>
      </w:r>
    </w:p>
    <w:p w:rsidR="00B13FF6" w:rsidRDefault="00B13FF6" w:rsidP="00B13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FF6" w:rsidRDefault="00B13FF6" w:rsidP="00B13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FF6" w:rsidRDefault="00B13FF6" w:rsidP="00B13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174.3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 июня 2019 г. № 796 «Об общих требованиях к оценке налоговых расходов субъектов Российской Федерации и муниципальных образований» администрация Карталинского городского поселения ПОСТАНОВЛЯЕТ:</w:t>
      </w:r>
    </w:p>
    <w:p w:rsid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r:id="rId8" w:anchor="Par30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 и оценки налоговых расходов Карталинского городского поселения.</w:t>
      </w:r>
    </w:p>
    <w:p w:rsid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разместить на сайте администрации Карталинского городского поселения.</w:t>
      </w:r>
    </w:p>
    <w:p w:rsid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момента подписания и распространяет действие на правоотношения, возникшие с 01.01.2020 года.</w:t>
      </w:r>
    </w:p>
    <w:p w:rsidR="00B13FF6" w:rsidRDefault="00B13FF6" w:rsidP="00B13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FF6" w:rsidRDefault="00B13FF6" w:rsidP="00B13F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FF6" w:rsidRDefault="00B13FF6" w:rsidP="00B13F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FF6" w:rsidRDefault="00B13FF6" w:rsidP="00B13F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Карталинского</w:t>
      </w:r>
    </w:p>
    <w:p w:rsidR="00B13FF6" w:rsidRDefault="00B13FF6" w:rsidP="00B13F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С.В. Марковский</w:t>
      </w:r>
    </w:p>
    <w:p w:rsidR="00C938BA" w:rsidRDefault="00C938BA"/>
    <w:p w:rsidR="00B13FF6" w:rsidRDefault="00B13FF6"/>
    <w:p w:rsidR="00B13FF6" w:rsidRDefault="00B13FF6"/>
    <w:p w:rsidR="00B13FF6" w:rsidRPr="00B13FF6" w:rsidRDefault="00B13FF6" w:rsidP="00B13FF6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13FF6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УТВЕРЖДЕН </w:t>
      </w:r>
    </w:p>
    <w:p w:rsidR="00B13FF6" w:rsidRPr="00B13FF6" w:rsidRDefault="00B13FF6" w:rsidP="00B13FF6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13FF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постановлением администрации </w:t>
      </w:r>
    </w:p>
    <w:p w:rsidR="00B13FF6" w:rsidRPr="00B13FF6" w:rsidRDefault="00B13FF6" w:rsidP="00B13FF6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13FF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Карталинского городского поселения </w:t>
      </w:r>
    </w:p>
    <w:p w:rsidR="00B13FF6" w:rsidRPr="00B13FF6" w:rsidRDefault="00B13FF6" w:rsidP="00B13FF6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13FF6">
        <w:rPr>
          <w:rFonts w:ascii="Times New Roman" w:eastAsia="Calibri" w:hAnsi="Times New Roman" w:cs="Times New Roman"/>
          <w:sz w:val="28"/>
          <w:szCs w:val="28"/>
          <w:lang w:eastAsia="ar-SA"/>
        </w:rPr>
        <w:t>от__</w:t>
      </w:r>
      <w:r w:rsidRPr="00B13FF6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29.06.</w:t>
      </w:r>
      <w:r w:rsidRPr="00B13FF6">
        <w:rPr>
          <w:rFonts w:ascii="Times New Roman" w:eastAsia="Calibri" w:hAnsi="Times New Roman" w:cs="Times New Roman"/>
          <w:sz w:val="28"/>
          <w:szCs w:val="28"/>
          <w:lang w:eastAsia="ar-SA"/>
        </w:rPr>
        <w:t>____2020 года №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bookmarkStart w:id="0" w:name="_GoBack"/>
      <w:bookmarkEnd w:id="0"/>
      <w:r w:rsidRPr="00B13FF6">
        <w:rPr>
          <w:rFonts w:ascii="Times New Roman" w:eastAsia="Calibri" w:hAnsi="Times New Roman" w:cs="Times New Roman"/>
          <w:sz w:val="28"/>
          <w:szCs w:val="28"/>
          <w:lang w:eastAsia="ar-SA"/>
        </w:rPr>
        <w:t>___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170</w:t>
      </w:r>
      <w:r w:rsidRPr="00B13FF6">
        <w:rPr>
          <w:rFonts w:ascii="Times New Roman" w:eastAsia="Calibri" w:hAnsi="Times New Roman" w:cs="Times New Roman"/>
          <w:sz w:val="28"/>
          <w:szCs w:val="28"/>
          <w:lang w:eastAsia="ar-SA"/>
        </w:rPr>
        <w:t>__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1" w:name="Par30"/>
      <w:bookmarkEnd w:id="1"/>
      <w:r w:rsidRPr="00B13FF6">
        <w:rPr>
          <w:rFonts w:ascii="Times New Roman" w:eastAsia="Calibri" w:hAnsi="Times New Roman" w:cs="Times New Roman"/>
          <w:sz w:val="28"/>
          <w:szCs w:val="28"/>
        </w:rPr>
        <w:t>Порядок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>формирования перечня налоговых расходов и оценки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>налоговых расходов Карталинского городского поселения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 xml:space="preserve">1. Настоящий Порядок формирования перечня налоговых расходов и оценки налоговых расходов Карталинского городского поселения (далее - Порядок) разработан в соответствии со </w:t>
      </w:r>
      <w:hyperlink r:id="rId9" w:history="1">
        <w:r w:rsidRPr="00B13FF6">
          <w:rPr>
            <w:rFonts w:ascii="Times New Roman" w:eastAsia="Calibri" w:hAnsi="Times New Roman" w:cs="Times New Roman"/>
            <w:sz w:val="28"/>
            <w:szCs w:val="28"/>
          </w:rPr>
          <w:t>статьей 174.3</w:t>
        </w:r>
      </w:hyperlink>
      <w:r w:rsidRPr="00B13FF6">
        <w:rPr>
          <w:rFonts w:ascii="Times New Roman" w:eastAsia="Calibri" w:hAnsi="Times New Roman" w:cs="Times New Roman"/>
          <w:sz w:val="28"/>
          <w:szCs w:val="28"/>
        </w:rPr>
        <w:t xml:space="preserve"> Бюджетного кодекса Российской Федерации и </w:t>
      </w:r>
      <w:hyperlink r:id="rId10" w:history="1">
        <w:r w:rsidRPr="00B13FF6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 w:rsidRPr="00B13FF6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 22 июня 2019г. № 796 «Об общих требованиях к оценке налоговых расходов субъектов Российской Федерации и муниципальных образований».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>2. Понятия, используемые в настоящем Порядке, означают следующее: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13FF6">
        <w:rPr>
          <w:rFonts w:ascii="Times New Roman" w:eastAsia="Calibri" w:hAnsi="Times New Roman" w:cs="Times New Roman"/>
          <w:sz w:val="28"/>
          <w:szCs w:val="28"/>
        </w:rPr>
        <w:t>куратор налогового расхода – орган местного самоуправления, ответственный в соответствии с полномочиями, установленными муниципальными правовыми актами, за достижение соответствующих налоговому расходу муниципального образования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программам;</w:t>
      </w:r>
      <w:proofErr w:type="gramEnd"/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13FF6">
        <w:rPr>
          <w:rFonts w:ascii="Times New Roman" w:eastAsia="Calibri" w:hAnsi="Times New Roman" w:cs="Times New Roman"/>
          <w:sz w:val="28"/>
          <w:szCs w:val="28"/>
        </w:rPr>
        <w:t>нормативные характеристики налоговых расходов - сведения о положениях муниципальных правовых актов, которыми предусматриваются налоговые льготы, освобождения и иные преференции по налогам (далее -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муниципальными правовыми актами;</w:t>
      </w:r>
      <w:proofErr w:type="gramEnd"/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>оценка налоговых расходов - комплекс мероприятий по оценке объемов налоговых расходов муниципального образования, обусловленных льготами, предоставленными плательщикам, а также по оценке эффективности налоговых расходов муниципального образования;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>оценка объемов налоговых расходов - определение объемов выпадающих доходов бюджета муниципального образования, обусловленных льготами, предоставленными плательщикам;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>оценка эффективности налоговых расходов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муниципального образования;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>перечень налоговых расходов - документ, содержащий сведения о распределении налоговых расходов муниципального образования в соответствии с целями муниципальных программ, структурных элементов муниципальных программ и (или) целями социально-экономической политики муниципального образования, не относящимися к муниципальным программам, а также о кураторах налоговых расходов;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>плательщики - плательщики налогов;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>социальные налоговые расходы - целевая категория налоговых расходов муниципального образования, обусловленных необходимостью обеспечения социальной защиты (поддержки) населения;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>стимулирующие налоговые расходы - целевая категория налоговых расходов муниципального образования, предполагающих стимулирование экономической активности субъектов предпринимательской деятельности и последующее увеличение доходов местного бюджета;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>технические налоговые расходы - целевая категория налоговых расходов муниципального образования,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местного бюджета;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>фискальные характеристики налоговых расходов - сведения об объеме льгот, предоставленных плательщикам, о численности получателей льгот;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>целевые характеристики налогового расхода - сведения о целях предоставления, показателях (индикаторах) достижения целей предоставления льготы, а также иные характеристики, предусмотренные муниципальными правовыми актами.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 xml:space="preserve">3. Настоящий Порядок определяет порядок формирования перечня налоговых расходов муниципального образования, правила формирования информации о нормативных, целевых и фискальных характеристиках налоговых расходов и порядок </w:t>
      </w:r>
      <w:proofErr w:type="gramStart"/>
      <w:r w:rsidRPr="00B13FF6">
        <w:rPr>
          <w:rFonts w:ascii="Times New Roman" w:eastAsia="Calibri" w:hAnsi="Times New Roman" w:cs="Times New Roman"/>
          <w:sz w:val="28"/>
          <w:szCs w:val="28"/>
        </w:rPr>
        <w:t>обобщения результатов оценки эффективности налоговых расходов муниципального</w:t>
      </w:r>
      <w:proofErr w:type="gramEnd"/>
      <w:r w:rsidRPr="00B13FF6">
        <w:rPr>
          <w:rFonts w:ascii="Times New Roman" w:eastAsia="Calibri" w:hAnsi="Times New Roman" w:cs="Times New Roman"/>
          <w:sz w:val="28"/>
          <w:szCs w:val="28"/>
        </w:rPr>
        <w:t xml:space="preserve"> образования, осуществляемой кураторами налоговых расходов.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>4. Отнесение налоговых расходов муниципального образования к муниципальным программам осуществляется исходя из целей муниципальных программ, структурных элементов муниципальных программ и (или) целей социально-экономической политики муниципального образования, не относящихся к муниципальным программам.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B13FF6">
        <w:rPr>
          <w:rFonts w:ascii="Times New Roman" w:eastAsia="Calibri" w:hAnsi="Times New Roman" w:cs="Times New Roman"/>
          <w:sz w:val="28"/>
          <w:szCs w:val="28"/>
        </w:rPr>
        <w:t>В целях оценки налоговых расходов муниципального образования Межрайонная инспекция Федеральной налоговой службы №19 по Челябинской области (далее – Межрайонная ИФНС России №19 по Челябинской области) представляет (по согласованию) в Финансовое управление Карталинского муниципального района (далее - Финансовое управление) информацию о фискальных характеристиках налоговых расходов муниципальных образований за отчетный финансовый год, а также информацию о стимулирующих налоговых расходах муниципального образования за 6 лет</w:t>
      </w:r>
      <w:proofErr w:type="gramEnd"/>
      <w:r w:rsidRPr="00B13FF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B13FF6">
        <w:rPr>
          <w:rFonts w:ascii="Times New Roman" w:eastAsia="Calibri" w:hAnsi="Times New Roman" w:cs="Times New Roman"/>
          <w:sz w:val="28"/>
          <w:szCs w:val="28"/>
        </w:rPr>
        <w:t>предшествующих</w:t>
      </w:r>
      <w:proofErr w:type="gramEnd"/>
      <w:r w:rsidRPr="00B13FF6">
        <w:rPr>
          <w:rFonts w:ascii="Times New Roman" w:eastAsia="Calibri" w:hAnsi="Times New Roman" w:cs="Times New Roman"/>
          <w:sz w:val="28"/>
          <w:szCs w:val="28"/>
        </w:rPr>
        <w:t xml:space="preserve"> отчетному финансовому году.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>6. Оценка налоговых расходов муниципального образования осуществляется куратором налогового расхода в соответствии с настоящим Порядком.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>7. В целях проведения оценки эффективности налоговых расходов: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Par54"/>
      <w:bookmarkEnd w:id="2"/>
      <w:r w:rsidRPr="00B13FF6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proofErr w:type="gramStart"/>
      <w:r w:rsidRPr="00B13FF6">
        <w:rPr>
          <w:rFonts w:ascii="Times New Roman" w:eastAsia="Calibri" w:hAnsi="Times New Roman" w:cs="Times New Roman"/>
          <w:sz w:val="28"/>
          <w:szCs w:val="28"/>
        </w:rPr>
        <w:t>Межрайонная</w:t>
      </w:r>
      <w:proofErr w:type="gramEnd"/>
      <w:r w:rsidRPr="00B13FF6">
        <w:rPr>
          <w:rFonts w:ascii="Times New Roman" w:eastAsia="Calibri" w:hAnsi="Times New Roman" w:cs="Times New Roman"/>
          <w:sz w:val="28"/>
          <w:szCs w:val="28"/>
        </w:rPr>
        <w:t xml:space="preserve"> ИФНС России №19 по Челябинской области (по согласованию) ежегодно, в срок до 15 июля, направляет в Финансовое управление сведения за год, предшествующий отчетному году, а также в случае необходимости уточненные данные за иные отчетные периоды, содержащие: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>сведения о количестве плательщиков, воспользовавшихся льготами;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>сведения о суммах выпадающих доходов бюджета поселения по каждому налоговому расходу поселения;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 xml:space="preserve">2) Финансовое управление в срок не позднее чем через 5 рабочих дней со дня получения от Межрайонной ИФНС России №19 по Челябинской области сведений, указанных в </w:t>
      </w:r>
      <w:hyperlink r:id="rId11" w:anchor="Par54" w:history="1">
        <w:r w:rsidRPr="00B13FF6">
          <w:rPr>
            <w:rFonts w:ascii="Times New Roman" w:eastAsia="Calibri" w:hAnsi="Times New Roman" w:cs="Times New Roman"/>
            <w:sz w:val="28"/>
            <w:szCs w:val="28"/>
          </w:rPr>
          <w:t xml:space="preserve">подпункте </w:t>
        </w:r>
      </w:hyperlink>
      <w:r w:rsidRPr="00B13FF6">
        <w:rPr>
          <w:rFonts w:ascii="Times New Roman" w:eastAsia="Calibri" w:hAnsi="Times New Roman" w:cs="Times New Roman"/>
          <w:sz w:val="28"/>
          <w:szCs w:val="28"/>
        </w:rPr>
        <w:t>1 настоящего пункта, направляет указанные сведения кураторам налоговых расходов.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>8. Оценка эффективности налоговых расходов муниципального образования осуществляется кураторами налоговых расходов и включает: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>1) оценку целесообразности налоговых расходов муниципального образования;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>2) оценку результативности налоговых расходов муниципального образования.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Par65"/>
      <w:bookmarkEnd w:id="3"/>
      <w:r w:rsidRPr="00B13FF6">
        <w:rPr>
          <w:rFonts w:ascii="Times New Roman" w:eastAsia="Calibri" w:hAnsi="Times New Roman" w:cs="Times New Roman"/>
          <w:sz w:val="28"/>
          <w:szCs w:val="28"/>
        </w:rPr>
        <w:t>9. Критериями целесообразности налоговых расходов муниципального образования являются: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>соответствие налоговых расходов целям муниципальных программ,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 xml:space="preserve">востребованность плательщиками предоставленных льгот, </w:t>
      </w:r>
      <w:proofErr w:type="gramStart"/>
      <w:r w:rsidRPr="00B13FF6">
        <w:rPr>
          <w:rFonts w:ascii="Times New Roman" w:eastAsia="Calibri" w:hAnsi="Times New Roman" w:cs="Times New Roman"/>
          <w:sz w:val="28"/>
          <w:szCs w:val="28"/>
        </w:rPr>
        <w:t>которая</w:t>
      </w:r>
      <w:proofErr w:type="gramEnd"/>
      <w:r w:rsidRPr="00B13FF6">
        <w:rPr>
          <w:rFonts w:ascii="Times New Roman" w:eastAsia="Calibri" w:hAnsi="Times New Roman" w:cs="Times New Roman"/>
          <w:sz w:val="28"/>
          <w:szCs w:val="28"/>
        </w:rPr>
        <w:t xml:space="preserve"> характеризуется соотношением численности плательщиков, воспользовавшихся правом на льготы, и общей численности плательщиков, за 5-летний период.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>При необходимости кураторами налоговых расходов могут быть установлены иные критерии целесообразности предоставления льгот для плательщиков.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 xml:space="preserve">10. В случае несоответствия налоговых расходов муниципального образования хотя бы одному из критериев, указанных в </w:t>
      </w:r>
      <w:hyperlink r:id="rId12" w:anchor="Par65" w:history="1">
        <w:r w:rsidRPr="00B13FF6">
          <w:rPr>
            <w:rFonts w:ascii="Times New Roman" w:eastAsia="Calibri" w:hAnsi="Times New Roman" w:cs="Times New Roman"/>
            <w:sz w:val="28"/>
            <w:szCs w:val="28"/>
          </w:rPr>
          <w:t>пункте 9</w:t>
        </w:r>
      </w:hyperlink>
      <w:r w:rsidRPr="00B13FF6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Порядка, куратору налогового расхода муниципального образования надлежит представить в представительный орган муниципального образования предложения о сохранении (уточнении, отмене) льгот для плательщиков.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>11. В качестве критерия результативности налогового расхода определяется как минимум один показатель (индикатор)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>12. Оценка результативности налоговых расходов включает оценку бюджетной эффективности налоговых расходов муниципального образования.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 xml:space="preserve">13. В целях оценки бюджетной эффективности налоговых расходов осуществляются сравнительный анализ результативности предоставления льгот и результативности </w:t>
      </w:r>
      <w:proofErr w:type="gramStart"/>
      <w:r w:rsidRPr="00B13FF6">
        <w:rPr>
          <w:rFonts w:ascii="Times New Roman" w:eastAsia="Calibri" w:hAnsi="Times New Roman" w:cs="Times New Roman"/>
          <w:sz w:val="28"/>
          <w:szCs w:val="28"/>
        </w:rPr>
        <w:t>применения альтернативных механизмов достижения целей муниципальной программы</w:t>
      </w:r>
      <w:proofErr w:type="gramEnd"/>
      <w:r w:rsidRPr="00B13FF6">
        <w:rPr>
          <w:rFonts w:ascii="Times New Roman" w:eastAsia="Calibri" w:hAnsi="Times New Roman" w:cs="Times New Roman"/>
          <w:sz w:val="28"/>
          <w:szCs w:val="28"/>
        </w:rPr>
        <w:t xml:space="preserve"> и (или) целей социально-экономической политики, не относящихся к муниципальным программам.</w:t>
      </w:r>
      <w:bookmarkStart w:id="4" w:name="Par74"/>
      <w:bookmarkEnd w:id="4"/>
      <w:r w:rsidRPr="00B13F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13FF6">
        <w:rPr>
          <w:rFonts w:ascii="Times New Roman" w:eastAsia="Calibri" w:hAnsi="Times New Roman" w:cs="Times New Roman"/>
          <w:sz w:val="28"/>
          <w:szCs w:val="28"/>
        </w:rPr>
        <w:t>Сравнительный анализ включает сравнение объемов расходов местного бюджета в случае применения альтернативных механизмов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и объемов предоставленных льгот (расчет прироста показателя (индикатора)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на 1 рубль налоговых расходов муниципального образования</w:t>
      </w:r>
      <w:proofErr w:type="gramEnd"/>
      <w:r w:rsidRPr="00B13FF6">
        <w:rPr>
          <w:rFonts w:ascii="Times New Roman" w:eastAsia="Calibri" w:hAnsi="Times New Roman" w:cs="Times New Roman"/>
          <w:sz w:val="28"/>
          <w:szCs w:val="28"/>
        </w:rPr>
        <w:t xml:space="preserve"> и на 1 рубль расходов местного бюджета для достижения того же показателя (индикатора) в случае применения альтернативных механизмов).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 xml:space="preserve">В качестве альтернативных механизмов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</w:t>
      </w:r>
      <w:proofErr w:type="gramStart"/>
      <w:r w:rsidRPr="00B13FF6">
        <w:rPr>
          <w:rFonts w:ascii="Times New Roman" w:eastAsia="Calibri" w:hAnsi="Times New Roman" w:cs="Times New Roman"/>
          <w:sz w:val="28"/>
          <w:szCs w:val="28"/>
        </w:rPr>
        <w:t>могут</w:t>
      </w:r>
      <w:proofErr w:type="gramEnd"/>
      <w:r w:rsidRPr="00B13FF6">
        <w:rPr>
          <w:rFonts w:ascii="Times New Roman" w:eastAsia="Calibri" w:hAnsi="Times New Roman" w:cs="Times New Roman"/>
          <w:sz w:val="28"/>
          <w:szCs w:val="28"/>
        </w:rPr>
        <w:t xml:space="preserve"> учитываются в том числе: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>1) субсидии или иные формы непосредственной финансовой поддержки плательщиков, имеющих право на льготы, за счет средств местного бюджета;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>2) предоставление муниципальных гарантий по обязательствам плательщиков, имеющих право на льготы.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>14. По итогам оценки эффективности налогового расхода муниципального образования кураторы налоговых расходов формулируют выводы о: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13FF6">
        <w:rPr>
          <w:rFonts w:ascii="Times New Roman" w:eastAsia="Calibri" w:hAnsi="Times New Roman" w:cs="Times New Roman"/>
          <w:sz w:val="28"/>
          <w:szCs w:val="28"/>
        </w:rPr>
        <w:t>1) достижении целевых характеристик налогового расхода муниципального образования;</w:t>
      </w:r>
      <w:proofErr w:type="gramEnd"/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proofErr w:type="gramStart"/>
      <w:r w:rsidRPr="00B13FF6">
        <w:rPr>
          <w:rFonts w:ascii="Times New Roman" w:eastAsia="Calibri" w:hAnsi="Times New Roman" w:cs="Times New Roman"/>
          <w:sz w:val="28"/>
          <w:szCs w:val="28"/>
        </w:rPr>
        <w:t>вкладе</w:t>
      </w:r>
      <w:proofErr w:type="gramEnd"/>
      <w:r w:rsidRPr="00B13FF6">
        <w:rPr>
          <w:rFonts w:ascii="Times New Roman" w:eastAsia="Calibri" w:hAnsi="Times New Roman" w:cs="Times New Roman"/>
          <w:sz w:val="28"/>
          <w:szCs w:val="28"/>
        </w:rPr>
        <w:t xml:space="preserve"> налогового расхода муниципального образования в достижение целей муниципальной программы и (или) целей социально-экономической политики муниципального образования, не относящихся к муниципальным программам.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>15. Перечень налоговых расходов муниципального образования на очередной финансовый год и плановый период формируется администрацией муниципального образования в 2020 году до 20 июля, а в последующие годы ежегодно до 20 мая и размещается на официальном сайте администрации муниципального образования в информационно-телекоммуникационной сети Интернет.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>16. Кураторы налоговых расходов ежегодно, в срок до 27 июля, представляют в Финансовое управление Карталинского муниципального района аналитическую записку с результатами оценки налоговых расходов по перечню согласно приложению к настоящему Порядку.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>Результаты рассмотрения оценки налоговых расходов муниципального образования учитываются при формировании основных направлений бюджетной и налоговой политики муниципального образования.</w:t>
      </w:r>
    </w:p>
    <w:p w:rsidR="00B13FF6" w:rsidRDefault="00B13FF6"/>
    <w:p w:rsidR="00B13FF6" w:rsidRDefault="00B13FF6"/>
    <w:p w:rsidR="00B13FF6" w:rsidRDefault="00B13FF6"/>
    <w:p w:rsidR="00B13FF6" w:rsidRDefault="00B13FF6"/>
    <w:p w:rsidR="00B13FF6" w:rsidRDefault="00B13FF6"/>
    <w:p w:rsidR="00B13FF6" w:rsidRDefault="00B13FF6"/>
    <w:p w:rsidR="00B13FF6" w:rsidRDefault="00B13FF6"/>
    <w:p w:rsidR="00B13FF6" w:rsidRDefault="00B13FF6"/>
    <w:p w:rsidR="00B13FF6" w:rsidRDefault="00B13FF6"/>
    <w:p w:rsidR="00B13FF6" w:rsidRDefault="00B13FF6"/>
    <w:p w:rsidR="00B13FF6" w:rsidRDefault="00B13FF6"/>
    <w:p w:rsidR="00B13FF6" w:rsidRDefault="00B13FF6"/>
    <w:p w:rsidR="00B13FF6" w:rsidRDefault="00B13FF6"/>
    <w:p w:rsidR="00B13FF6" w:rsidRDefault="00B13FF6"/>
    <w:p w:rsidR="00B13FF6" w:rsidRDefault="00B13FF6"/>
    <w:p w:rsidR="00B13FF6" w:rsidRDefault="00B13FF6"/>
    <w:p w:rsidR="00B13FF6" w:rsidRDefault="00B13FF6"/>
    <w:p w:rsidR="00B13FF6" w:rsidRDefault="00B13FF6"/>
    <w:p w:rsidR="00B13FF6" w:rsidRDefault="00B13FF6"/>
    <w:p w:rsidR="00B13FF6" w:rsidRDefault="00B13FF6"/>
    <w:p w:rsidR="00B13FF6" w:rsidRDefault="00B13FF6"/>
    <w:p w:rsidR="00B13FF6" w:rsidRDefault="00B13FF6"/>
    <w:p w:rsidR="00B13FF6" w:rsidRDefault="00B13FF6"/>
    <w:p w:rsidR="00B13FF6" w:rsidRDefault="00B13FF6"/>
    <w:p w:rsidR="00B13FF6" w:rsidRDefault="00B13FF6"/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 xml:space="preserve">к Порядку формирования 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 xml:space="preserve">перечня налоговых расходов и 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 xml:space="preserve">оценки налоговых расходов 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>Карталинского городского поселения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5" w:name="Par130"/>
      <w:bookmarkEnd w:id="5"/>
      <w:r w:rsidRPr="00B13FF6">
        <w:rPr>
          <w:rFonts w:ascii="Times New Roman" w:eastAsia="Calibri" w:hAnsi="Times New Roman" w:cs="Times New Roman"/>
          <w:sz w:val="28"/>
          <w:szCs w:val="28"/>
        </w:rPr>
        <w:t>Перечень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>показателей для проведения оценки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3FF6">
        <w:rPr>
          <w:rFonts w:ascii="Times New Roman" w:eastAsia="Calibri" w:hAnsi="Times New Roman" w:cs="Times New Roman"/>
          <w:sz w:val="28"/>
          <w:szCs w:val="28"/>
        </w:rPr>
        <w:t>налоговых расходов муниципального образования</w:t>
      </w:r>
    </w:p>
    <w:p w:rsidR="00B13FF6" w:rsidRPr="00B13FF6" w:rsidRDefault="00B13FF6" w:rsidP="00B13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tbl>
      <w:tblPr>
        <w:tblW w:w="97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359"/>
        <w:gridCol w:w="284"/>
        <w:gridCol w:w="2552"/>
      </w:tblGrid>
      <w:tr w:rsidR="00B13FF6" w:rsidRPr="00B13FF6" w:rsidTr="0027430E">
        <w:trPr>
          <w:trHeight w:val="49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Предоставляемая информация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Источник данных</w:t>
            </w:r>
          </w:p>
        </w:tc>
      </w:tr>
      <w:tr w:rsidR="00B13FF6" w:rsidRPr="00B13FF6" w:rsidTr="0027430E">
        <w:trPr>
          <w:trHeight w:val="497"/>
        </w:trPr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I. Нормативные характеристики налоговых расходов муниципального образования</w:t>
            </w:r>
          </w:p>
        </w:tc>
      </w:tr>
      <w:tr w:rsidR="00B13FF6" w:rsidRPr="00B13FF6" w:rsidTr="0027430E">
        <w:trPr>
          <w:trHeight w:val="119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Нормативные правовые акты представительного органа муниципального образования,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куратор налогового расхода</w:t>
            </w:r>
          </w:p>
        </w:tc>
      </w:tr>
      <w:tr w:rsidR="00B13FF6" w:rsidRPr="00B13FF6" w:rsidTr="0027430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Условия предоставления налоговых льгот, освобождений и иных преференций для плательщиков налогов, установленные нормативными правовыми актами представительного органа муниципального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куратор налогового расхода</w:t>
            </w:r>
          </w:p>
        </w:tc>
      </w:tr>
      <w:tr w:rsidR="00B13FF6" w:rsidRPr="00B13FF6" w:rsidTr="0027430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куратор налогового расхода</w:t>
            </w:r>
          </w:p>
        </w:tc>
      </w:tr>
      <w:tr w:rsidR="00B13FF6" w:rsidRPr="00B13FF6" w:rsidTr="0027430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Дата начала действия налоговых льгот, освобождений и иных преференций по налогам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куратор налогового расхода</w:t>
            </w:r>
          </w:p>
        </w:tc>
      </w:tr>
      <w:tr w:rsidR="00B13FF6" w:rsidRPr="00B13FF6" w:rsidTr="0027430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прекращения действия налоговых льгот, освобождений и иных преференций по налогам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куратор налогового расхода</w:t>
            </w:r>
          </w:p>
        </w:tc>
      </w:tr>
      <w:tr w:rsidR="00B13FF6" w:rsidRPr="00B13FF6" w:rsidTr="0027430E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II. Целевые характеристики налоговых расходов муниципального образования</w:t>
            </w:r>
          </w:p>
        </w:tc>
      </w:tr>
      <w:tr w:rsidR="00B13FF6" w:rsidRPr="00B13FF6" w:rsidTr="0027430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куратор налогового расхода</w:t>
            </w:r>
          </w:p>
        </w:tc>
      </w:tr>
      <w:tr w:rsidR="00B13FF6" w:rsidRPr="00B13FF6" w:rsidTr="0027430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Целевая категория налогового расхода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куратор налогового расхода</w:t>
            </w:r>
          </w:p>
        </w:tc>
      </w:tr>
      <w:tr w:rsidR="00B13FF6" w:rsidRPr="00B13FF6" w:rsidTr="0027430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Цели предоставления налоговых льгот, освобождений и иных преференций для плательщиков налогов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куратор налогового расхода</w:t>
            </w:r>
          </w:p>
        </w:tc>
      </w:tr>
      <w:tr w:rsidR="00B13FF6" w:rsidRPr="00B13FF6" w:rsidTr="0027430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Наименования налогов, по которым предусматриваются налоговые льготы, освобождения и иные преференции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куратор налогового расхода</w:t>
            </w:r>
          </w:p>
        </w:tc>
      </w:tr>
      <w:tr w:rsidR="00B13FF6" w:rsidRPr="00B13FF6" w:rsidTr="0027430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куратор налогового расхода</w:t>
            </w:r>
          </w:p>
        </w:tc>
      </w:tr>
      <w:tr w:rsidR="00B13FF6" w:rsidRPr="00B13FF6" w:rsidTr="0027430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куратор налогового расхода</w:t>
            </w:r>
          </w:p>
        </w:tc>
      </w:tr>
      <w:tr w:rsidR="00B13FF6" w:rsidRPr="00B13FF6" w:rsidTr="0027430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Показатель (индикатор) достижения целей муниципальных программ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образования, в связи с предоставлением налоговых льгот, освобождений и иных преференций по налогам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куратор налогового расхода</w:t>
            </w:r>
          </w:p>
        </w:tc>
      </w:tr>
      <w:tr w:rsidR="00B13FF6" w:rsidRPr="00B13FF6" w:rsidTr="0027430E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III. Фискальные характеристики налогового расхода муниципального образования</w:t>
            </w:r>
          </w:p>
        </w:tc>
      </w:tr>
      <w:tr w:rsidR="00B13FF6" w:rsidRPr="00B13FF6" w:rsidTr="0027430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Объем налоговых льгот, освобождений и иных преференций, предоставленных для плательщиков налогов, в соответствии с нормативными правовыми актами представительного органа муниципального образования за отчётный год и за год, предшествующий отчетному году (тыс. рублей)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ИФНС России №19 по Челябинской области (по согласованию)</w:t>
            </w:r>
          </w:p>
        </w:tc>
      </w:tr>
      <w:tr w:rsidR="00B13FF6" w:rsidRPr="00B13FF6" w:rsidTr="0027430E">
        <w:trPr>
          <w:trHeight w:val="149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куратор налогового расхода</w:t>
            </w:r>
          </w:p>
        </w:tc>
      </w:tr>
      <w:tr w:rsidR="00B13FF6" w:rsidRPr="00B13FF6" w:rsidTr="0027430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плательщиков налогов, воспользовавшихся налоговой льготой, освобождением и иной преференцией (единиц)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ИФНС России №19 по Челябинской области (по согласованию)</w:t>
            </w:r>
          </w:p>
        </w:tc>
      </w:tr>
      <w:tr w:rsidR="00B13FF6" w:rsidRPr="00B13FF6" w:rsidTr="0027430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оценки эффективности налогового расхода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6" w:rsidRPr="00B13FF6" w:rsidRDefault="00B13FF6" w:rsidP="00B1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6">
              <w:rPr>
                <w:rFonts w:ascii="Times New Roman" w:eastAsia="Calibri" w:hAnsi="Times New Roman" w:cs="Times New Roman"/>
                <w:sz w:val="28"/>
                <w:szCs w:val="28"/>
              </w:rPr>
              <w:t>куратор налогового расхода</w:t>
            </w:r>
          </w:p>
        </w:tc>
      </w:tr>
    </w:tbl>
    <w:p w:rsidR="00B13FF6" w:rsidRDefault="00B13FF6"/>
    <w:sectPr w:rsidR="00B13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FF6"/>
    <w:rsid w:val="00B13FF6"/>
    <w:rsid w:val="00C9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FF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3FF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3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F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FF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3FF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3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F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ecretary\Desktop\&#1041;&#1077;&#1083;&#1080;&#1082;\&#1053;&#1072;&#1083;&#1086;&#1075;&#1086;&#1074;&#1099;&#1077;%20&#1088;&#1072;&#1089;&#1093;&#1086;&#1076;&#1099;\&#1055;&#1086;&#1089;&#1090;&#1072;&#1085;&#1086;&#1074;&#1083;&#1077;&#1085;&#1080;&#1077;%20170%20&#1055;&#1086;&#1088;&#1103;&#1076;&#1086;&#1082;%20&#1087;&#1086;%20&#1085;&#1072;&#1083;&#1086;&#1075;&#1086;&#1074;&#1099;&#1084;%20&#1088;&#1072;&#1089;&#1093;&#1086;&#1076;&#1072;&#1084;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B3BC2B8E573E469A8FD627C96FDE06822D08B2DC127EA4224FB268CB656D357EEC1D51AFD395607D77ABFAF649079B271634CDA1572227c2p5G" TargetMode="External"/><Relationship Id="rId12" Type="http://schemas.openxmlformats.org/officeDocument/2006/relationships/hyperlink" Target="file:///C:\Users\Secretary\Desktop\&#1055;&#1086;&#1089;&#1090;&#1072;&#1085;&#1086;&#1074;&#1083;&#1077;&#1085;&#1080;&#1077;%20170%20&#1055;&#1086;&#1088;&#1103;&#1076;&#1086;&#1082;%20&#1087;&#1086;%20&#1085;&#1072;&#1083;&#1086;&#1075;&#1086;&#1074;&#1099;&#1084;%20&#1088;&#1072;&#1089;&#1093;&#1086;&#1076;&#1072;&#1084;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B3BC2B8E573E469A8FD627C96FDE06822D08BFD0127EA4224FB268CB656D357EEC1D54A8D59C68292DBBFEBF1D0C84210B2ACCBF57c2p2G" TargetMode="External"/><Relationship Id="rId11" Type="http://schemas.openxmlformats.org/officeDocument/2006/relationships/hyperlink" Target="file:///C:\Users\Secretary\Desktop\&#1055;&#1086;&#1089;&#1090;&#1072;&#1085;&#1086;&#1074;&#1083;&#1077;&#1085;&#1080;&#1077;%20170%20&#1055;&#1086;&#1088;&#1103;&#1076;&#1086;&#1082;%20&#1087;&#1086;%20&#1085;&#1072;&#1083;&#1086;&#1075;&#1086;&#1074;&#1099;&#1084;%20&#1088;&#1072;&#1089;&#1093;&#1086;&#1076;&#1072;&#1084;.docx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99B3BC2B8E573E469A8FD627C96FDE06822D08B2DC127EA4224FB268CB656D357EEC1D51AFD395607D77ABFAF649079B271634CDA1572227c2p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B3BC2B8E573E469A8FD627C96FDE06822D08BFD0127EA4224FB268CB656D357EEC1D54A8D59C68292DBBFEBF1D0C84210B2ACCBF57c2p2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2396</Words>
  <Characters>13659</Characters>
  <Application>Microsoft Office Word</Application>
  <DocSecurity>0</DocSecurity>
  <Lines>113</Lines>
  <Paragraphs>32</Paragraphs>
  <ScaleCrop>false</ScaleCrop>
  <Company/>
  <LinksUpToDate>false</LinksUpToDate>
  <CharactersWithSpaces>16023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2020-07-29T08:45:00Z</dcterms:created>
  <dcterms:modified xsi:type="dcterms:W3CDTF">2020-07-29T08:47:00Z</dcterms:modified>
</cp:coreProperties>
</file>