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6" w:rsidRDefault="00B13FF6" w:rsidP="00B13F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6" w:rsidRDefault="00B13FF6" w:rsidP="00B1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3FF6" w:rsidRDefault="00B13FF6" w:rsidP="00B1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13FF6" w:rsidRDefault="00B13FF6" w:rsidP="00B1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B13FF6" w:rsidRDefault="00B13FF6" w:rsidP="00B1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B13FF6" w:rsidRDefault="00B13FF6" w:rsidP="00B13FF6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13FF6" w:rsidRDefault="00B13FF6" w:rsidP="00B13FF6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B13FF6" w:rsidRDefault="00B13FF6" w:rsidP="00B13FF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B13FF6" w:rsidTr="00B13FF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13FF6" w:rsidRDefault="00B13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3FF6" w:rsidTr="00B13FF6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FF6" w:rsidRDefault="00B13F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Pr="00B13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__»____</w:t>
            </w:r>
            <w:r w:rsidRPr="00B13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____2020 г.___</w:t>
            </w:r>
            <w:r w:rsidRPr="00B13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B13FF6" w:rsidRDefault="00B13F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B13FF6" w:rsidRDefault="00B13FF6" w:rsidP="00B13FF6">
      <w:pPr>
        <w:autoSpaceDE w:val="0"/>
        <w:autoSpaceDN w:val="0"/>
        <w:adjustRightInd w:val="0"/>
        <w:spacing w:after="0" w:line="240" w:lineRule="auto"/>
        <w:ind w:righ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и оценки налоговых расходов Карталинского городского поселения</w:t>
      </w: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администрация Карталинского городского поселения ПОСТАНОВЛЯЕТ:</w:t>
      </w: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ar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и оценки налоговых расходов Карталинского городского поселения.</w:t>
      </w: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сайте администрации Карталинского городского поселения.</w:t>
      </w: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распространяет действие на правоотношения, возникшие с 01.01.2020 года.</w:t>
      </w:r>
    </w:p>
    <w:p w:rsidR="00B13FF6" w:rsidRDefault="00B13FF6" w:rsidP="00B1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F6" w:rsidRDefault="00B13FF6" w:rsidP="00B13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FF6" w:rsidRDefault="00B13FF6" w:rsidP="00B13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FF6" w:rsidRDefault="00B13FF6" w:rsidP="00B13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B13FF6" w:rsidRDefault="00B13FF6" w:rsidP="00B13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Марковский</w:t>
      </w:r>
    </w:p>
    <w:p w:rsidR="00C938BA" w:rsidRDefault="00C938BA"/>
    <w:p w:rsidR="00B13FF6" w:rsidRDefault="00B13FF6"/>
    <w:p w:rsidR="00B13FF6" w:rsidRDefault="00B13FF6"/>
    <w:p w:rsidR="00B13FF6" w:rsidRPr="00B13FF6" w:rsidRDefault="00B13FF6" w:rsidP="00B13F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3F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УТВЕРЖДЕН </w:t>
      </w:r>
    </w:p>
    <w:p w:rsidR="00B13FF6" w:rsidRPr="00B13FF6" w:rsidRDefault="00B13FF6" w:rsidP="00B13F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3F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B13FF6" w:rsidRPr="00B13FF6" w:rsidRDefault="00B13FF6" w:rsidP="00B13F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3F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Карталинского городского поселения </w:t>
      </w:r>
    </w:p>
    <w:p w:rsidR="00B13FF6" w:rsidRPr="00B13FF6" w:rsidRDefault="00B13FF6" w:rsidP="00B13F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3FF6">
        <w:rPr>
          <w:rFonts w:ascii="Times New Roman" w:eastAsia="Calibri" w:hAnsi="Times New Roman" w:cs="Times New Roman"/>
          <w:sz w:val="28"/>
          <w:szCs w:val="28"/>
          <w:lang w:eastAsia="ar-SA"/>
        </w:rPr>
        <w:t>от__</w:t>
      </w:r>
      <w:r w:rsidRPr="00B13FF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29.06.</w:t>
      </w:r>
      <w:r w:rsidRPr="00B13FF6">
        <w:rPr>
          <w:rFonts w:ascii="Times New Roman" w:eastAsia="Calibri" w:hAnsi="Times New Roman" w:cs="Times New Roman"/>
          <w:sz w:val="28"/>
          <w:szCs w:val="28"/>
          <w:lang w:eastAsia="ar-SA"/>
        </w:rPr>
        <w:t>____2020 года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B13FF6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170</w:t>
      </w:r>
      <w:r w:rsidRPr="00B13FF6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30"/>
      <w:bookmarkEnd w:id="1"/>
      <w:r w:rsidRPr="00B13FF6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формирования перечня налоговых расходов и оценки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налоговых расходов Карталинского городского поселения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формирования перечня налоговых расходов и оценки налоговых расходов Карталинского городского поселения (далее - Порядок) разработан в соответствии со </w:t>
      </w:r>
      <w:hyperlink r:id="rId9" w:history="1">
        <w:r w:rsidRPr="00B13FF6">
          <w:rPr>
            <w:rFonts w:ascii="Times New Roman" w:eastAsia="Calibri" w:hAnsi="Times New Roman" w:cs="Times New Roman"/>
            <w:sz w:val="28"/>
            <w:szCs w:val="28"/>
          </w:rPr>
          <w:t>статьей 174.3</w:t>
        </w:r>
      </w:hyperlink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B13FF6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22 июня 2019г. № 796 «Об общих требованиях к оценке налоговых расходов субъектов Российской Федерации и муниципальных образований».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куратор налогового расхода – 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нормативные характеристики налоговых расходов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оценка налоговых расходов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оценка объемов налоговых расходов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перечень налоговых расходов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плательщики - плательщики налогов;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социальные налоговые расходы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стимулирующие налоговые расходы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технические налоговые расходы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3. Настоящий Порядок определяет порядок формирования перечня налоговых расходов муниципального образования, правила формирования информации о нормативных, целевых и фискальных характеристиках налоговых расходов и порядок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обобщения результатов оценки эффективности налоговых расходов муниципального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образования, осуществляемой кураторами налоговых расходов.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4. 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В целях оценки налоговых расходов муниципального образования Межрайонная инспекция Федеральной налоговой службы №19 по Челябинской области (далее – Межрайонная ИФНС России №19 по Челябинской области) представляет (по согласованию) в Финансовое управление Карталинского муниципального района (далее - Финансовое управление) информацию о фискальных характеристиках налоговых расходов муниципальных образований за отчетный финансовый год, а также информацию о стимулирующих налоговых расходах муниципального образования за 6 лет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предшествующих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отчетному финансовому году.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6. 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7. В целях проведения оценки эффективности налоговых расходов: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54"/>
      <w:bookmarkEnd w:id="2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Межрайонная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ИФНС России №19 по Челябинской области (по согласованию) ежегодно, в срок до 15 июля, направляет в Финансовое управление сведения за год, предшествующий отчетному году, а также в случае необходимости уточненные данные за иные отчетные периоды, содержащие: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сведения о суммах выпадающих доходов бюджета поселения по каждому налоговому расходу поселения;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2) Финансовое управление в срок не позднее чем через 5 рабочих дней со дня получения от Межрайонной ИФНС России №19 по Челябинской области сведений, указанных в </w:t>
      </w:r>
      <w:hyperlink r:id="rId11" w:anchor="Par54" w:history="1">
        <w:r w:rsidRPr="00B13FF6">
          <w:rPr>
            <w:rFonts w:ascii="Times New Roman" w:eastAsia="Calibri" w:hAnsi="Times New Roman" w:cs="Times New Roman"/>
            <w:sz w:val="28"/>
            <w:szCs w:val="28"/>
          </w:rPr>
          <w:t xml:space="preserve">подпункте </w:t>
        </w:r>
      </w:hyperlink>
      <w:r w:rsidRPr="00B13FF6">
        <w:rPr>
          <w:rFonts w:ascii="Times New Roman" w:eastAsia="Calibri" w:hAnsi="Times New Roman" w:cs="Times New Roman"/>
          <w:sz w:val="28"/>
          <w:szCs w:val="28"/>
        </w:rPr>
        <w:t>1 настоящего пункта, направляет указанные сведения кураторам налоговых расходов.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8.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1) оценку целесообразности налоговых расходов муниципального образования;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2) оценку результативности налоговых расходов муниципального образования.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5"/>
      <w:bookmarkEnd w:id="3"/>
      <w:r w:rsidRPr="00B13FF6">
        <w:rPr>
          <w:rFonts w:ascii="Times New Roman" w:eastAsia="Calibri" w:hAnsi="Times New Roman" w:cs="Times New Roman"/>
          <w:sz w:val="28"/>
          <w:szCs w:val="28"/>
        </w:rPr>
        <w:t>9. Критериями целесообразности налоговых расходов муниципального образования являются: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10. В случае несоответствия налоговых расходов муниципального образования хотя бы одному из критериев, указанных в </w:t>
      </w:r>
      <w:hyperlink r:id="rId12" w:anchor="Par65" w:history="1">
        <w:r w:rsidRPr="00B13FF6">
          <w:rPr>
            <w:rFonts w:ascii="Times New Roman" w:eastAsia="Calibri" w:hAnsi="Times New Roman" w:cs="Times New Roman"/>
            <w:sz w:val="28"/>
            <w:szCs w:val="28"/>
          </w:rPr>
          <w:t>пункте 9</w:t>
        </w:r>
      </w:hyperlink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куратору налогового расхода муниципального образования надлежит представить в представительный орган муниципального образования предложения о сохранении (уточнении, отмене) льгот для плательщиков.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11.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12. Оценка результативности налоговых расходов включает оценку бюджетной эффективности налоговых расходов муниципального образования.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13.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и (или) целей социально-экономической политики, не относящихся к муниципальным программам.</w:t>
      </w:r>
      <w:bookmarkStart w:id="4" w:name="Par74"/>
      <w:bookmarkEnd w:id="4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могут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учитываются в том числе: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льготы.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14. По итогам оценки эффективности налогового расхода муниципального образования кураторы налоговых расходов формулируют выводы о: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1) достижении целевых характеристик налогового расхода муниципального образования;</w:t>
      </w:r>
      <w:proofErr w:type="gramEnd"/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B13FF6">
        <w:rPr>
          <w:rFonts w:ascii="Times New Roman" w:eastAsia="Calibri" w:hAnsi="Times New Roman" w:cs="Times New Roman"/>
          <w:sz w:val="28"/>
          <w:szCs w:val="28"/>
        </w:rPr>
        <w:t>вкладе</w:t>
      </w:r>
      <w:proofErr w:type="gramEnd"/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15. Перечень налоговых расходов муниципального образования на очередной финансовый год и плановый период формируется администрацией муниципального образования в 2020 году до 20 июля, а в последующие годы ежегодно до 20 мая и размещается на официальном сайте администрации муниципального образования в информационно-телекоммуникационной сети Интернет.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16. Кураторы налоговых расходов ежегодно, в срок до 27 июля, представляют в Финансовое управление Карталинского муниципального района аналитическую записку с результатами оценки налоговых расходов по перечню согласно приложению к настоящему Порядку.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образования.</w:t>
      </w:r>
    </w:p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Default="00B13FF6"/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к Порядку формирования 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перечня налоговых расходов и 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 xml:space="preserve">оценки налоговых расходов 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Карталинского городского поселения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Par130"/>
      <w:bookmarkEnd w:id="5"/>
      <w:r w:rsidRPr="00B13FF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показателей для проведения оценки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FF6">
        <w:rPr>
          <w:rFonts w:ascii="Times New Roman" w:eastAsia="Calibri" w:hAnsi="Times New Roman" w:cs="Times New Roman"/>
          <w:sz w:val="28"/>
          <w:szCs w:val="28"/>
        </w:rPr>
        <w:t>налоговых расходов муниципального образования</w:t>
      </w:r>
    </w:p>
    <w:p w:rsidR="00B13FF6" w:rsidRPr="00B13FF6" w:rsidRDefault="00B13FF6" w:rsidP="00B1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359"/>
        <w:gridCol w:w="284"/>
        <w:gridCol w:w="2552"/>
      </w:tblGrid>
      <w:tr w:rsidR="00B13FF6" w:rsidRPr="00B13FF6" w:rsidTr="0027430E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B13FF6" w:rsidRPr="00B13FF6" w:rsidTr="0027430E">
        <w:trPr>
          <w:trHeight w:val="497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I. Нормативные характеристики налоговых расходов муниципального образования</w:t>
            </w:r>
          </w:p>
        </w:tc>
      </w:tr>
      <w:tr w:rsidR="00B13FF6" w:rsidRPr="00B13FF6" w:rsidTr="0027430E">
        <w:trPr>
          <w:trHeight w:val="11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 представительного органа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представительного органа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действия налоговых льгот, освобождений и иных преференций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II. Целевые характеристики налоговых расходов муниципального образования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представительного органа муниципального образования за отчётный год и за год, предшествующий отчетному году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№19 по Челябинской области (по согласованию)</w:t>
            </w:r>
          </w:p>
        </w:tc>
      </w:tr>
      <w:tr w:rsidR="00B13FF6" w:rsidRPr="00B13FF6" w:rsidTr="0027430E">
        <w:trPr>
          <w:trHeight w:val="14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№19 по Челябинской области (по согласованию)</w:t>
            </w:r>
          </w:p>
        </w:tc>
      </w:tr>
      <w:tr w:rsidR="00B13FF6" w:rsidRPr="00B13FF6" w:rsidTr="002743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F6" w:rsidRPr="00B13FF6" w:rsidRDefault="00B13FF6" w:rsidP="00B1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FF6">
              <w:rPr>
                <w:rFonts w:ascii="Times New Roman" w:eastAsia="Calibri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</w:tbl>
    <w:p w:rsidR="00B13FF6" w:rsidRDefault="00B13FF6"/>
    <w:sectPr w:rsidR="00B1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F6"/>
    <w:rsid w:val="00B13FF6"/>
    <w:rsid w:val="00C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cretary\Desktop\&#1041;&#1077;&#1083;&#1080;&#1082;\&#1053;&#1072;&#1083;&#1086;&#1075;&#1086;&#1074;&#1099;&#1077;%20&#1088;&#1072;&#1089;&#1093;&#1086;&#1076;&#1099;\&#1055;&#1086;&#1089;&#1090;&#1072;&#1085;&#1086;&#1074;&#1083;&#1077;&#1085;&#1080;&#1077;%20170%20&#1055;&#1086;&#1088;&#1103;&#1076;&#1086;&#1082;%20&#1087;&#1086;%20&#1085;&#1072;&#1083;&#1086;&#1075;&#1086;&#1074;&#1099;&#1084;%20&#1088;&#1072;&#1089;&#1093;&#1086;&#1076;&#1072;&#108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3BC2B8E573E469A8FD627C96FDE06822D08B2DC127EA4224FB268CB656D357EEC1D51AFD395607D77ABFAF649079B271634CDA1572227c2p5G" TargetMode="External"/><Relationship Id="rId12" Type="http://schemas.openxmlformats.org/officeDocument/2006/relationships/hyperlink" Target="file:///C:\Users\Secretary\Desktop\&#1055;&#1086;&#1089;&#1090;&#1072;&#1085;&#1086;&#1074;&#1083;&#1077;&#1085;&#1080;&#1077;%20170%20&#1055;&#1086;&#1088;&#1103;&#1076;&#1086;&#1082;%20&#1087;&#1086;%20&#1085;&#1072;&#1083;&#1086;&#1075;&#1086;&#1074;&#1099;&#1084;%20&#1088;&#1072;&#1089;&#1093;&#1086;&#1076;&#1072;&#108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3BC2B8E573E469A8FD627C96FDE06822D08BFD0127EA4224FB268CB656D357EEC1D54A8D59C68292DBBFEBF1D0C84210B2ACCBF57c2p2G" TargetMode="External"/><Relationship Id="rId11" Type="http://schemas.openxmlformats.org/officeDocument/2006/relationships/hyperlink" Target="file:///C:\Users\Secretary\Desktop\&#1055;&#1086;&#1089;&#1090;&#1072;&#1085;&#1086;&#1074;&#1083;&#1077;&#1085;&#1080;&#1077;%20170%20&#1055;&#1086;&#1088;&#1103;&#1076;&#1086;&#1082;%20&#1087;&#1086;%20&#1085;&#1072;&#1083;&#1086;&#1075;&#1086;&#1074;&#1099;&#1084;%20&#1088;&#1072;&#1089;&#1093;&#1086;&#1076;&#1072;&#1084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9B3BC2B8E573E469A8FD627C96FDE06822D08B2DC127EA4224FB268CB656D357EEC1D51AFD395607D77ABFAF649079B271634CDA1572227c2p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3BC2B8E573E469A8FD627C96FDE06822D08BFD0127EA4224FB268CB656D357EEC1D54A8D59C68292DBBFEBF1D0C84210B2ACCBF57c2p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2396</Words>
  <Characters>13659</Characters>
  <Application>Microsoft Office Word</Application>
  <DocSecurity>0</DocSecurity>
  <Lines>113</Lines>
  <Paragraphs>32</Paragraphs>
  <ScaleCrop>false</ScaleCrop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2020-07-29T08:45:00Z</dcterms:created>
  <dcterms:modified xsi:type="dcterms:W3CDTF">2020-07-29T08:47:00Z</dcterms:modified>
</cp:coreProperties>
</file>